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5F4843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00B8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00B8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00B8B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2F13E1" w:rsidRPr="0063415A" w:rsidRDefault="002F13E1" w:rsidP="00147233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147233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Устав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</w:p>
    <w:p w:rsidR="00503633" w:rsidRPr="0063415A" w:rsidRDefault="00503633" w:rsidP="0014723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147233">
      <w:pPr>
        <w:ind w:left="851" w:right="-1" w:firstLine="0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</w:t>
      </w: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2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7233" w:rsidRPr="002F2B69" w:rsidRDefault="00147233" w:rsidP="0014723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1. Внести изменения в Устав муниципального образования  Светлый сельсовет Сакмарского района Оренбургской области согласно приложению. 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2. Главе муниципального образования Светлый сельсовет Сакмарского района Оренбургской области Бочкареву Н.И.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3. Глава муниципального образования Светлый сельсовет Сакмарского района Оренбургской области Бочкарев</w:t>
      </w:r>
      <w:bookmarkStart w:id="0" w:name="_GoBack"/>
      <w:bookmarkEnd w:id="0"/>
      <w:r w:rsidRPr="002F2B69">
        <w:rPr>
          <w:rFonts w:ascii="Times New Roman" w:hAnsi="Times New Roman" w:cs="Times New Roman"/>
          <w:sz w:val="28"/>
          <w:szCs w:val="28"/>
        </w:rPr>
        <w:t xml:space="preserve"> Н.И.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147233" w:rsidRPr="002F2B69" w:rsidRDefault="00147233" w:rsidP="00147233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5871" w:rsidRPr="002F2B69">
        <w:rPr>
          <w:rFonts w:ascii="Times New Roman" w:hAnsi="Times New Roman" w:cs="Times New Roman"/>
          <w:sz w:val="28"/>
          <w:szCs w:val="28"/>
        </w:rPr>
        <w:t>постоянную комиссию по вопросам социальной политики, муниципальной собственности и местного самоуправления.</w:t>
      </w:r>
    </w:p>
    <w:p w:rsidR="00147233" w:rsidRPr="002F2B69" w:rsidRDefault="00147233" w:rsidP="00147233">
      <w:pPr>
        <w:ind w:left="851" w:right="-1" w:firstLine="0"/>
        <w:rPr>
          <w:rFonts w:ascii="Times New Roman" w:hAnsi="Times New Roman" w:cs="Times New Roman"/>
          <w:sz w:val="26"/>
          <w:szCs w:val="26"/>
        </w:rPr>
      </w:pPr>
    </w:p>
    <w:p w:rsidR="00610E42" w:rsidRPr="00FF5871" w:rsidRDefault="00610E42" w:rsidP="00147233">
      <w:pPr>
        <w:ind w:left="851" w:right="-1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FF587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503633" w:rsidRPr="00503633" w:rsidRDefault="00503633" w:rsidP="00147233">
      <w:pPr>
        <w:ind w:left="851" w:right="-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147233">
      <w:pPr>
        <w:pStyle w:val="a8"/>
        <w:ind w:right="-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147233">
      <w:pPr>
        <w:pStyle w:val="a7"/>
        <w:ind w:right="-1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14723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147233">
      <w:pPr>
        <w:ind w:right="-1"/>
        <w:rPr>
          <w:rFonts w:ascii="Arial" w:hAnsi="Arial" w:cs="Arial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Pr="002F2B69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sz w:val="24"/>
          <w:szCs w:val="24"/>
        </w:rPr>
      </w:pPr>
      <w:r w:rsidRPr="002F2B69">
        <w:rPr>
          <w:rFonts w:ascii="Times New Roman" w:hAnsi="Times New Roman" w:cs="Times New Roman"/>
          <w:sz w:val="24"/>
          <w:szCs w:val="24"/>
        </w:rPr>
        <w:t>Разослано: прокуратуре, постоянным комиссиям</w:t>
      </w:r>
    </w:p>
    <w:p w:rsidR="00E7216B" w:rsidRDefault="00E7216B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  <w:r w:rsidRPr="00E7216B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F2B69" w:rsidRDefault="002F2B69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</w:p>
    <w:p w:rsidR="00300B8B" w:rsidRDefault="00300B8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0B8B" w:rsidRDefault="00300B8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2B69">
        <w:rPr>
          <w:rFonts w:ascii="Times New Roman" w:hAnsi="Times New Roman" w:cs="Times New Roman"/>
          <w:sz w:val="28"/>
          <w:szCs w:val="28"/>
        </w:rPr>
        <w:t>2</w:t>
      </w:r>
      <w:r w:rsidR="00300B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F2B69">
        <w:rPr>
          <w:rFonts w:ascii="Times New Roman" w:hAnsi="Times New Roman" w:cs="Times New Roman"/>
          <w:sz w:val="28"/>
          <w:szCs w:val="28"/>
        </w:rPr>
        <w:t>1</w:t>
      </w:r>
      <w:r w:rsidR="00300B8B">
        <w:rPr>
          <w:rFonts w:ascii="Times New Roman" w:hAnsi="Times New Roman" w:cs="Times New Roman"/>
          <w:sz w:val="28"/>
          <w:szCs w:val="28"/>
        </w:rPr>
        <w:t>12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</w:t>
      </w: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</w:p>
    <w:p w:rsidR="002F6ACF" w:rsidRDefault="002F6ACF" w:rsidP="00147233">
      <w:pPr>
        <w:ind w:right="-1"/>
        <w:jc w:val="center"/>
        <w:rPr>
          <w:b/>
          <w:sz w:val="28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Пункт 21 части 1 статьи 5 изложить в новой редакции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:</w:t>
      </w:r>
    </w:p>
    <w:p w:rsidR="002F6ACF" w:rsidRDefault="002F6ACF" w:rsidP="0014723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</w:t>
      </w:r>
      <w:r w:rsidR="00621470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6B42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BC1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Главу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дополнить статьей </w:t>
      </w:r>
      <w:r w:rsidR="00621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 следующего содержания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42D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</w:t>
      </w:r>
      <w:r w:rsidR="006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осуществляют муниципальный контроль за соблюдением</w:t>
      </w:r>
      <w:r w:rsidR="006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6B42D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F6ACF" w:rsidRPr="002923C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местного самоуправления муниципального образования Светлый сельсовет, уполномоченным на осуществление муниципального контроля является администрация муниципального образования Светлый сельсовет Сакмарского 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CF"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 части 3</w:t>
      </w:r>
      <w:r w:rsidR="00FF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16 изложить в новой редакции</w:t>
      </w: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</w:t>
      </w:r>
      <w:r w:rsidR="00FF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211D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Start"/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7C056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5871"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Часть 4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статьи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16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изложить в новой редакции</w:t>
      </w:r>
      <w:r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56BA1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или в случае, если орган 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возможности размещать информацию о 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деятельности в информационно – телекоммуникационной сети «Интернет»,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местного самоуправления»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 настоящей статье – официальный сайт)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представления жителями муниципального образования своих замечаний</w:t>
      </w:r>
      <w:proofErr w:type="gramEnd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муниципального образования, обнародование результатов публичных слушаний, </w:t>
      </w:r>
      <w:r w:rsidR="005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F6ACF" w:rsidRPr="00872AA9" w:rsidRDefault="00556BA1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</w:t>
      </w:r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Правительством Российской Федерации</w:t>
      </w:r>
      <w:proofErr w:type="gramStart"/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части 2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тать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новой редакции:</w:t>
      </w:r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28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частью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следующего содержания: </w:t>
      </w:r>
    </w:p>
    <w:p w:rsidR="002F6ACF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03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B0F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13)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2F6ACF" w:rsidRDefault="003B0F03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 ежегодного оплачиваемого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 части 1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E1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статьи 29 изложить в новой редакции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на утверждение Совета депутатов планы и программы развития сельсовета, отчеты об их исполнении</w:t>
      </w:r>
      <w:proofErr w:type="gramStart"/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F6ACF" w:rsidRPr="00B1298A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39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4C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59D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194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94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9.1</w:t>
      </w:r>
      <w:r w:rsidR="001F4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EE77D2" w:rsidRPr="00B1298A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72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гражданства Российской Федерации либо гражданства (подданства) иностранного</w:t>
      </w:r>
      <w:proofErr w:type="gramEnd"/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AE5" w:rsidRDefault="00F10AE5" w:rsidP="00F10AE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9.1) сообщать в письменной форме представителю нанимателю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</w:t>
      </w:r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вида на жительство или</w:t>
      </w:r>
      <w:proofErr w:type="gramEnd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F6AC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2F6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170965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F6ACF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 xml:space="preserve">Пункты </w:t>
      </w:r>
      <w:r w:rsidR="00EE77D2" w:rsidRPr="005F4843">
        <w:rPr>
          <w:rFonts w:ascii="Times New Roman" w:hAnsi="Times New Roman" w:cs="Times New Roman"/>
          <w:b/>
          <w:sz w:val="24"/>
          <w:szCs w:val="24"/>
        </w:rPr>
        <w:t xml:space="preserve">6,7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40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EE77D2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F6ACF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151376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376" w:rsidRPr="005F4843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0</w:t>
      </w:r>
      <w:r w:rsidRPr="005F4843">
        <w:rPr>
          <w:rFonts w:ascii="Times New Roman" w:hAnsi="Times New Roman" w:cs="Times New Roman"/>
          <w:b/>
          <w:sz w:val="24"/>
          <w:szCs w:val="24"/>
        </w:rPr>
        <w:t>. Часть 3 статьи 40 исключить.</w:t>
      </w:r>
    </w:p>
    <w:p w:rsidR="002F6ACF" w:rsidRPr="00BC66B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151376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1</w:t>
      </w:r>
      <w:r w:rsidR="002F6ACF"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 xml:space="preserve">Абзац 2 </w:t>
      </w:r>
      <w:r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Pr="001513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статьи 44 изложить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в новой редакции</w:t>
      </w:r>
      <w:r w:rsidR="008145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следующего содержания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A1691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представительным органом муниципального образования председателем Совета депутатов и главой сельсовета</w:t>
      </w:r>
      <w:proofErr w:type="gramStart"/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2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>С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тать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ю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44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дополнить 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частью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2.1.  следующе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го содержания</w:t>
      </w:r>
      <w:r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:</w:t>
      </w: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2F6ACF" w:rsidRPr="00BC66B9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</w:t>
      </w:r>
      <w:proofErr w:type="gramStart"/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3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2F6ACF" w:rsidRPr="00BC1D2E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 муниципального образования, муни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обнародования. 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образований Оренбургской области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C43F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4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1B4DC7" w:rsidRDefault="001B4DC7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DA6A64" w:rsidRDefault="001C43FA" w:rsidP="001B4DC7">
      <w:pPr>
        <w:shd w:val="clear" w:color="auto" w:fill="FFFFFF"/>
        <w:ind w:right="-1" w:firstLine="709"/>
        <w:contextualSpacing/>
        <w:rPr>
          <w:rFonts w:ascii="Arial" w:hAnsi="Arial" w:cs="Arial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2F6A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2F6ACF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и дополнения, внесенные в Устав, и предусматривающие создание контрольно-счетного органа муници</w:t>
      </w:r>
      <w:r w:rsidR="001B4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пального образования, подлежат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обнародованию после их государственной регистрации и вступают в силу после их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обнародования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762B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762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DA6A64" w:rsidSect="0014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755568"/>
    <w:rsid w:val="00000027"/>
    <w:rsid w:val="000037CF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7322"/>
    <w:rsid w:val="00130DAF"/>
    <w:rsid w:val="00137ACC"/>
    <w:rsid w:val="00147233"/>
    <w:rsid w:val="00151376"/>
    <w:rsid w:val="0016131B"/>
    <w:rsid w:val="001617EF"/>
    <w:rsid w:val="00165FC2"/>
    <w:rsid w:val="00170965"/>
    <w:rsid w:val="00171501"/>
    <w:rsid w:val="001762BF"/>
    <w:rsid w:val="001867AF"/>
    <w:rsid w:val="00191CD8"/>
    <w:rsid w:val="001946E4"/>
    <w:rsid w:val="00195DF7"/>
    <w:rsid w:val="001B2100"/>
    <w:rsid w:val="001B4DC7"/>
    <w:rsid w:val="001C0E4A"/>
    <w:rsid w:val="001C43FA"/>
    <w:rsid w:val="001F40FB"/>
    <w:rsid w:val="001F4347"/>
    <w:rsid w:val="001F4424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79C0"/>
    <w:rsid w:val="00277C0F"/>
    <w:rsid w:val="002839B5"/>
    <w:rsid w:val="002A76E2"/>
    <w:rsid w:val="002B2E28"/>
    <w:rsid w:val="002C0921"/>
    <w:rsid w:val="002C1834"/>
    <w:rsid w:val="002C5382"/>
    <w:rsid w:val="002D3EC0"/>
    <w:rsid w:val="002D7876"/>
    <w:rsid w:val="002F0B8C"/>
    <w:rsid w:val="002F13E1"/>
    <w:rsid w:val="002F2B69"/>
    <w:rsid w:val="002F6ACF"/>
    <w:rsid w:val="00300B8B"/>
    <w:rsid w:val="003030CC"/>
    <w:rsid w:val="00312998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C129D"/>
    <w:rsid w:val="004E6E50"/>
    <w:rsid w:val="00503633"/>
    <w:rsid w:val="0050745E"/>
    <w:rsid w:val="005162DD"/>
    <w:rsid w:val="0052306C"/>
    <w:rsid w:val="00542044"/>
    <w:rsid w:val="00547325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5F4843"/>
    <w:rsid w:val="00602C4F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668DD"/>
    <w:rsid w:val="00A73908"/>
    <w:rsid w:val="00A750F9"/>
    <w:rsid w:val="00A76392"/>
    <w:rsid w:val="00A84A2B"/>
    <w:rsid w:val="00A9256D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604CB"/>
    <w:rsid w:val="00E70D7A"/>
    <w:rsid w:val="00E7216B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216E"/>
    <w:rsid w:val="00EE745E"/>
    <w:rsid w:val="00EE77D2"/>
    <w:rsid w:val="00EF5FD9"/>
    <w:rsid w:val="00F06CC1"/>
    <w:rsid w:val="00F10AE5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  <w:style w:type="character" w:customStyle="1" w:styleId="ab">
    <w:name w:val="Без интервала Знак"/>
    <w:basedOn w:val="a0"/>
    <w:link w:val="ac"/>
    <w:uiPriority w:val="99"/>
    <w:locked/>
    <w:rsid w:val="00E7216B"/>
  </w:style>
  <w:style w:type="paragraph" w:styleId="ac">
    <w:name w:val="No Spacing"/>
    <w:link w:val="ab"/>
    <w:uiPriority w:val="99"/>
    <w:qFormat/>
    <w:rsid w:val="00E7216B"/>
    <w:pPr>
      <w:ind w:right="0" w:firstLine="0"/>
      <w:jc w:val="left"/>
    </w:pPr>
  </w:style>
  <w:style w:type="paragraph" w:customStyle="1" w:styleId="ConsNonformat">
    <w:name w:val="ConsNonformat"/>
    <w:uiPriority w:val="99"/>
    <w:rsid w:val="00E7216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783-1B7B-4C17-8A60-32FA803B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35</cp:revision>
  <cp:lastPrinted>2021-10-11T09:33:00Z</cp:lastPrinted>
  <dcterms:created xsi:type="dcterms:W3CDTF">2021-03-01T03:23:00Z</dcterms:created>
  <dcterms:modified xsi:type="dcterms:W3CDTF">2021-12-10T09:06:00Z</dcterms:modified>
</cp:coreProperties>
</file>